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宋体" w:eastAsia="方正小标宋_GBK"/>
          <w:color w:val="000000"/>
          <w:sz w:val="44"/>
          <w:szCs w:val="44"/>
        </w:rPr>
      </w:pPr>
      <w:r>
        <w:rPr>
          <w:rFonts w:hint="eastAsia" w:ascii="方正小标宋_GBK" w:hAnsi="宋体" w:eastAsia="方正小标宋_GBK"/>
          <w:color w:val="000000"/>
          <w:sz w:val="44"/>
          <w:szCs w:val="44"/>
          <w:lang w:val="en-US" w:eastAsia="zh-CN"/>
        </w:rPr>
        <w:t>玉林市中级人民法院</w:t>
      </w:r>
      <w:r>
        <w:rPr>
          <w:rFonts w:hint="eastAsia" w:ascii="方正小标宋_GBK" w:hAnsi="宋体" w:eastAsia="方正小标宋_GBK"/>
          <w:color w:val="000000"/>
          <w:sz w:val="44"/>
          <w:szCs w:val="44"/>
        </w:rPr>
        <w:t>2019年度</w:t>
      </w:r>
      <w:r>
        <w:rPr>
          <w:rFonts w:hint="eastAsia" w:ascii="方正小标宋_GBK" w:hAnsi="宋体" w:eastAsia="方正小标宋_GBK"/>
          <w:color w:val="000000"/>
          <w:sz w:val="44"/>
          <w:szCs w:val="44"/>
          <w:lang w:val="en-US" w:eastAsia="zh-CN"/>
        </w:rPr>
        <w:t>政法纪检监察转移支付资金</w:t>
      </w:r>
      <w:r>
        <w:rPr>
          <w:rFonts w:hint="eastAsia" w:ascii="方正小标宋_GBK" w:hAnsi="宋体" w:eastAsia="方正小标宋_GBK"/>
          <w:color w:val="000000"/>
          <w:sz w:val="44"/>
          <w:szCs w:val="44"/>
        </w:rPr>
        <w:t>绩效自评报告</w:t>
      </w:r>
    </w:p>
    <w:p>
      <w:pPr>
        <w:jc w:val="center"/>
        <w:rPr>
          <w:rFonts w:hint="eastAsia" w:ascii="仿宋_GB2312" w:hAnsi="宋体" w:eastAsia="仿宋_GB2312"/>
          <w:color w:val="000000"/>
          <w:sz w:val="32"/>
        </w:rPr>
      </w:pPr>
    </w:p>
    <w:p>
      <w:pPr>
        <w:ind w:firstLine="640" w:firstLineChars="200"/>
        <w:rPr>
          <w:rFonts w:hint="eastAsia" w:ascii="黑体" w:hAnsi="黑体" w:eastAsia="黑体"/>
          <w:color w:val="000000"/>
          <w:sz w:val="32"/>
        </w:rPr>
      </w:pPr>
      <w:r>
        <w:rPr>
          <w:rFonts w:hint="eastAsia" w:ascii="黑体" w:hAnsi="黑体" w:eastAsia="黑体"/>
          <w:color w:val="000000"/>
          <w:sz w:val="32"/>
        </w:rPr>
        <w:t>一、绩效目标分解下达情况</w:t>
      </w:r>
    </w:p>
    <w:p>
      <w:pPr>
        <w:ind w:firstLine="640" w:firstLineChars="200"/>
        <w:rPr>
          <w:rFonts w:hint="eastAsia" w:ascii="仿宋_GB2312" w:hAnsi="楷体" w:eastAsia="仿宋_GB2312"/>
          <w:color w:val="000000"/>
          <w:sz w:val="32"/>
          <w:lang w:val="en-US" w:eastAsia="zh-CN"/>
        </w:rPr>
      </w:pPr>
      <w:r>
        <w:rPr>
          <w:rFonts w:hint="eastAsia" w:ascii="仿宋_GB2312" w:hAnsi="楷体" w:eastAsia="仿宋_GB2312"/>
          <w:color w:val="000000"/>
          <w:sz w:val="32"/>
          <w:lang w:val="en-US" w:eastAsia="zh-CN"/>
        </w:rPr>
        <w:t>2019年政法纪检监察转移支付资金预</w:t>
      </w:r>
      <w:r>
        <w:rPr>
          <w:rFonts w:hint="eastAsia" w:ascii="仿宋_GB2312" w:hAnsi="楷体" w:eastAsia="仿宋_GB2312"/>
          <w:color w:val="000000"/>
          <w:sz w:val="32"/>
        </w:rPr>
        <w:t>算</w:t>
      </w:r>
      <w:r>
        <w:rPr>
          <w:rFonts w:hint="eastAsia" w:ascii="仿宋_GB2312" w:hAnsi="楷体" w:eastAsia="仿宋_GB2312"/>
          <w:color w:val="000000"/>
          <w:sz w:val="32"/>
          <w:lang w:eastAsia="zh-CN"/>
        </w:rPr>
        <w:t>资金下达</w:t>
      </w:r>
      <w:r>
        <w:rPr>
          <w:rFonts w:hint="eastAsia" w:ascii="仿宋_GB2312" w:hAnsi="楷体" w:eastAsia="仿宋_GB2312"/>
          <w:color w:val="000000"/>
          <w:sz w:val="32"/>
        </w:rPr>
        <w:t>情况</w:t>
      </w:r>
      <w:r>
        <w:rPr>
          <w:rFonts w:hint="eastAsia" w:ascii="仿宋_GB2312" w:hAnsi="楷体" w:eastAsia="仿宋_GB2312"/>
          <w:color w:val="000000"/>
          <w:sz w:val="32"/>
          <w:lang w:eastAsia="zh-CN"/>
        </w:rPr>
        <w:t>：</w:t>
      </w:r>
      <w:r>
        <w:rPr>
          <w:rFonts w:hint="eastAsia" w:ascii="仿宋_GB2312" w:hAnsi="楷体" w:eastAsia="仿宋_GB2312"/>
          <w:color w:val="000000"/>
          <w:sz w:val="32"/>
          <w:lang w:val="en-US" w:eastAsia="zh-CN"/>
        </w:rPr>
        <w:t>2019年政法纪检监察转移支付资金全部为中央下达资金。共分为两次下达，第一次提前下达404万元，第二次下达94万元，分配下达资金合计498万元。其中一般业务装备经费191万元；一般办案业务经费292万元；扫黑除恶专项斗争经费5万元；维稳专项经费10万元。</w:t>
      </w:r>
    </w:p>
    <w:p>
      <w:pPr>
        <w:ind w:firstLine="640" w:firstLineChars="200"/>
        <w:rPr>
          <w:rFonts w:hint="eastAsia" w:ascii="仿宋_GB2312" w:hAnsi="楷体" w:eastAsia="仿宋_GB2312"/>
          <w:color w:val="000000"/>
          <w:sz w:val="32"/>
        </w:rPr>
      </w:pPr>
      <w:r>
        <w:rPr>
          <w:rFonts w:hint="eastAsia" w:ascii="仿宋_GB2312" w:hAnsi="楷体" w:eastAsia="仿宋_GB2312"/>
          <w:color w:val="000000"/>
          <w:sz w:val="32"/>
          <w:lang w:val="en-US" w:eastAsia="zh-CN"/>
        </w:rPr>
        <w:t>2019年政法纪检监察转移支付资金年度绩效目标为：一是通过政法转移资金建立完善的审判经费保障，确保2019年度本院内部审判、执行任务的顺利进行。二是保障本年度大案要案、二审案件的立案、审理、判决整个审判流程的正常运转，保障扫黑除恶专项斗争的开展，维护社会公平正义。三是进一步解决执行难问题，加大司法救助力度，维护群众合法权益，维护社会稳定。</w:t>
      </w:r>
    </w:p>
    <w:p>
      <w:pPr>
        <w:ind w:firstLine="640" w:firstLineChars="200"/>
        <w:rPr>
          <w:rFonts w:hint="eastAsia" w:ascii="黑体" w:hAnsi="黑体" w:eastAsia="黑体"/>
          <w:color w:val="000000"/>
          <w:sz w:val="32"/>
        </w:rPr>
      </w:pPr>
      <w:r>
        <w:rPr>
          <w:rFonts w:hint="eastAsia" w:ascii="黑体" w:hAnsi="黑体" w:eastAsia="黑体"/>
          <w:color w:val="000000"/>
          <w:sz w:val="32"/>
        </w:rPr>
        <w:t>二、绩效目标完成情况分析</w:t>
      </w:r>
    </w:p>
    <w:p>
      <w:pPr>
        <w:ind w:firstLine="640" w:firstLineChars="200"/>
        <w:rPr>
          <w:rFonts w:hint="eastAsia" w:ascii="仿宋_GB2312" w:hAnsi="楷体" w:eastAsia="仿宋_GB2312"/>
          <w:color w:val="000000"/>
          <w:sz w:val="32"/>
        </w:rPr>
      </w:pPr>
      <w:r>
        <w:rPr>
          <w:rFonts w:hint="eastAsia" w:ascii="仿宋_GB2312" w:hAnsi="楷体" w:eastAsia="仿宋_GB2312"/>
          <w:color w:val="000000"/>
          <w:sz w:val="32"/>
        </w:rPr>
        <w:t>（一）资金投入情况分析。</w:t>
      </w:r>
    </w:p>
    <w:p>
      <w:pPr>
        <w:ind w:firstLine="640" w:firstLineChars="200"/>
        <w:rPr>
          <w:rFonts w:hint="eastAsia" w:ascii="仿宋_GB2312" w:hAnsi="楷体" w:eastAsia="仿宋_GB2312"/>
          <w:color w:val="000000"/>
          <w:sz w:val="32"/>
        </w:rPr>
      </w:pPr>
      <w:r>
        <w:rPr>
          <w:rFonts w:hint="eastAsia" w:ascii="仿宋_GB2312" w:hAnsi="楷体" w:eastAsia="仿宋_GB2312"/>
          <w:color w:val="000000"/>
          <w:sz w:val="32"/>
        </w:rPr>
        <w:t>1．项目资金到位情况分析。</w:t>
      </w:r>
    </w:p>
    <w:p>
      <w:pPr>
        <w:ind w:firstLine="640" w:firstLineChars="200"/>
        <w:rPr>
          <w:rFonts w:hint="eastAsia" w:ascii="仿宋_GB2312" w:hAnsi="楷体" w:eastAsia="仿宋_GB2312"/>
          <w:color w:val="000000"/>
          <w:sz w:val="32"/>
        </w:rPr>
      </w:pPr>
      <w:r>
        <w:rPr>
          <w:rFonts w:hint="eastAsia" w:ascii="仿宋_GB2312" w:hAnsi="楷体" w:eastAsia="仿宋_GB2312"/>
          <w:color w:val="000000"/>
          <w:sz w:val="32"/>
          <w:lang w:val="en-US" w:eastAsia="zh-CN"/>
        </w:rPr>
        <w:t>2019年政法纪检监察转移支付资金含一般业务装备经费191万元；一般办案业务经费292万元；扫黑除恶专项斗争经费5万元；维稳专项经费10万元，共计498万元资金全部下达到位。</w:t>
      </w:r>
    </w:p>
    <w:p>
      <w:pPr>
        <w:numPr>
          <w:ilvl w:val="0"/>
          <w:numId w:val="1"/>
        </w:numPr>
        <w:ind w:firstLine="640" w:firstLineChars="200"/>
        <w:rPr>
          <w:rFonts w:hint="eastAsia" w:ascii="仿宋_GB2312" w:hAnsi="楷体" w:eastAsia="仿宋_GB2312"/>
          <w:color w:val="000000"/>
          <w:sz w:val="32"/>
        </w:rPr>
      </w:pPr>
      <w:r>
        <w:rPr>
          <w:rFonts w:hint="eastAsia" w:ascii="仿宋_GB2312" w:hAnsi="楷体" w:eastAsia="仿宋_GB2312"/>
          <w:color w:val="000000"/>
          <w:sz w:val="32"/>
        </w:rPr>
        <w:t>项目资金执行情况分析。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仿宋_GB2312" w:hAnsi="楷体" w:eastAsia="仿宋_GB2312"/>
          <w:color w:val="000000"/>
          <w:sz w:val="32"/>
          <w:lang w:val="en-US" w:eastAsia="zh-CN"/>
        </w:rPr>
      </w:pPr>
      <w:r>
        <w:rPr>
          <w:rFonts w:hint="eastAsia" w:ascii="仿宋_GB2312" w:hAnsi="楷体" w:eastAsia="仿宋_GB2312"/>
          <w:color w:val="000000"/>
          <w:sz w:val="32"/>
          <w:lang w:val="en-US" w:eastAsia="zh-CN"/>
        </w:rPr>
        <w:t xml:space="preserve">    2019年政法纪检监察转移支付资金截至2019年12月31日支出497.27万元，结余0.73万元，预算执行率为99.85%。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 w:ascii="仿宋_GB2312" w:hAnsi="楷体" w:eastAsia="仿宋_GB2312"/>
          <w:color w:val="000000"/>
          <w:sz w:val="32"/>
        </w:rPr>
      </w:pPr>
      <w:r>
        <w:rPr>
          <w:rFonts w:hint="eastAsia" w:ascii="仿宋_GB2312" w:hAnsi="楷体" w:eastAsia="仿宋_GB2312"/>
          <w:color w:val="000000"/>
          <w:sz w:val="32"/>
        </w:rPr>
        <w:t>项目资金管理情况分析。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楷体" w:eastAsia="仿宋_GB2312"/>
          <w:color w:val="000000"/>
          <w:sz w:val="32"/>
        </w:rPr>
      </w:pPr>
      <w:r>
        <w:rPr>
          <w:rFonts w:hint="eastAsia" w:ascii="仿宋_GB2312" w:hAnsi="楷体" w:eastAsia="仿宋_GB2312"/>
          <w:color w:val="000000"/>
          <w:sz w:val="32"/>
          <w:lang w:val="en-US" w:eastAsia="zh-CN"/>
        </w:rPr>
        <w:t>本项目制定了项目资金管理办法，建立了资金管理内控制度，资金投入有保障。资金到位率100%，保障了项目的顺利实施。资金按照规范程序进行分配，资金支付履行审批程序和手续，资金管理、费用标准、支持对象等均按部门预算批复，会计核算真实、完整、及时、准确。</w:t>
      </w:r>
    </w:p>
    <w:p>
      <w:pPr>
        <w:ind w:firstLine="640" w:firstLineChars="200"/>
        <w:rPr>
          <w:rFonts w:hint="eastAsia" w:ascii="仿宋_GB2312" w:hAnsi="楷体" w:eastAsia="仿宋_GB2312"/>
          <w:color w:val="000000"/>
          <w:sz w:val="32"/>
        </w:rPr>
      </w:pPr>
      <w:r>
        <w:rPr>
          <w:rFonts w:hint="eastAsia" w:ascii="仿宋_GB2312" w:hAnsi="楷体" w:eastAsia="仿宋_GB2312"/>
          <w:color w:val="000000"/>
          <w:sz w:val="32"/>
        </w:rPr>
        <w:t>（二）总体绩效目标完成情况分析。</w:t>
      </w:r>
      <w:r>
        <w:rPr>
          <w:rFonts w:hint="eastAsia" w:ascii="仿宋_GB2312" w:hAnsi="楷体" w:eastAsia="仿宋_GB2312"/>
          <w:color w:val="000000"/>
          <w:sz w:val="32"/>
          <w:lang w:eastAsia="zh-CN"/>
        </w:rPr>
        <w:t>该项目绩效目标总体完成情况良好，</w:t>
      </w:r>
      <w:r>
        <w:rPr>
          <w:rFonts w:hint="eastAsia" w:ascii="仿宋_GB2312" w:hAnsi="楷体" w:eastAsia="仿宋_GB2312"/>
          <w:color w:val="000000"/>
          <w:sz w:val="32"/>
          <w:lang w:val="en-US" w:eastAsia="zh-CN"/>
        </w:rPr>
        <w:t>通过政法转移资金建立了完善的审判经费保障，确保2019年度本院内部审判、执行任务的顺利进行。保障了本年度大案要案、二审案件的立案、审理、判决整个审判流程的正常运转，保障了扫黑除恶专项斗争的开展，维护社会公平正义。更好解决了执行难问题，加大司法救助力度，维护群众合法权益，维护社会稳定。</w:t>
      </w:r>
      <w:r>
        <w:rPr>
          <w:rFonts w:hint="eastAsia" w:ascii="仿宋" w:hAnsi="仿宋" w:eastAsia="仿宋"/>
          <w:sz w:val="32"/>
          <w:szCs w:val="32"/>
        </w:rPr>
        <w:t>确保法院依法履行职责。保障法院完成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2019</w:t>
      </w:r>
      <w:r>
        <w:rPr>
          <w:rFonts w:hint="eastAsia" w:ascii="仿宋" w:hAnsi="仿宋" w:eastAsia="仿宋"/>
          <w:sz w:val="32"/>
          <w:szCs w:val="32"/>
        </w:rPr>
        <w:t>年案件的审判、执行</w:t>
      </w:r>
      <w:r>
        <w:rPr>
          <w:rFonts w:hint="eastAsia" w:ascii="仿宋" w:hAnsi="仿宋" w:eastAsia="仿宋"/>
          <w:sz w:val="32"/>
          <w:szCs w:val="32"/>
          <w:lang w:eastAsia="zh-CN"/>
        </w:rPr>
        <w:t>、扫黑除恶、维稳等各项</w:t>
      </w:r>
      <w:r>
        <w:rPr>
          <w:rFonts w:hint="eastAsia" w:ascii="仿宋" w:hAnsi="仿宋" w:eastAsia="仿宋"/>
          <w:sz w:val="32"/>
          <w:szCs w:val="32"/>
        </w:rPr>
        <w:t>工作。</w:t>
      </w:r>
      <w:r>
        <w:rPr>
          <w:rFonts w:hint="eastAsia" w:ascii="仿宋" w:hAnsi="仿宋" w:eastAsia="仿宋"/>
          <w:sz w:val="32"/>
          <w:szCs w:val="32"/>
          <w:lang w:eastAsia="zh-CN"/>
        </w:rPr>
        <w:t>达到了年初预定绩效目标。</w:t>
      </w:r>
    </w:p>
    <w:p>
      <w:pPr>
        <w:ind w:firstLine="640" w:firstLineChars="200"/>
        <w:outlineLvl w:val="0"/>
        <w:rPr>
          <w:rFonts w:hint="eastAsia" w:ascii="仿宋_GB2312" w:hAnsi="宋体" w:eastAsia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hAnsi="楷体" w:eastAsia="仿宋_GB2312"/>
          <w:color w:val="000000"/>
          <w:sz w:val="32"/>
        </w:rPr>
      </w:pPr>
    </w:p>
    <w:p>
      <w:pPr>
        <w:numPr>
          <w:ilvl w:val="0"/>
          <w:numId w:val="2"/>
        </w:numPr>
        <w:ind w:firstLine="640" w:firstLineChars="200"/>
        <w:rPr>
          <w:rFonts w:hint="eastAsia" w:ascii="仿宋_GB2312" w:hAnsi="仿宋" w:eastAsia="仿宋_GB2312"/>
          <w:color w:val="000000"/>
          <w:sz w:val="32"/>
        </w:rPr>
      </w:pPr>
      <w:r>
        <w:rPr>
          <w:rFonts w:hint="eastAsia" w:ascii="仿宋_GB2312" w:hAnsi="楷体" w:eastAsia="仿宋_GB2312"/>
          <w:color w:val="000000"/>
          <w:sz w:val="32"/>
        </w:rPr>
        <w:t>绩效指标完成情况分析。</w:t>
      </w:r>
    </w:p>
    <w:p>
      <w:pPr>
        <w:numPr>
          <w:ilvl w:val="0"/>
          <w:numId w:val="3"/>
        </w:numPr>
        <w:ind w:firstLine="640" w:firstLineChars="200"/>
        <w:rPr>
          <w:rFonts w:hint="eastAsia"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产出指标完成情况分析。</w:t>
      </w:r>
    </w:p>
    <w:p>
      <w:pPr>
        <w:numPr>
          <w:ilvl w:val="0"/>
          <w:numId w:val="0"/>
        </w:numPr>
        <w:ind w:firstLine="640" w:firstLineChars="200"/>
        <w:rPr>
          <w:rFonts w:hint="default" w:ascii="仿宋_GB2312" w:hAnsi="仿宋" w:eastAsia="仿宋_GB2312"/>
          <w:color w:val="000000"/>
          <w:sz w:val="32"/>
          <w:lang w:val="en-US" w:eastAsia="zh-CN"/>
        </w:rPr>
      </w:pPr>
      <w:r>
        <w:rPr>
          <w:rFonts w:hint="eastAsia" w:ascii="仿宋_GB2312" w:hAnsi="仿宋" w:eastAsia="仿宋_GB2312"/>
          <w:color w:val="000000"/>
          <w:sz w:val="32"/>
        </w:rPr>
        <w:t>(1)数量指标</w:t>
      </w:r>
      <w:r>
        <w:rPr>
          <w:rFonts w:hint="eastAsia" w:ascii="仿宋_GB2312" w:hAnsi="仿宋" w:eastAsia="仿宋_GB2312"/>
          <w:color w:val="000000"/>
          <w:sz w:val="32"/>
          <w:lang w:eastAsia="zh-CN"/>
        </w:rPr>
        <w:t>：支出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497.27万元</w:t>
      </w:r>
    </w:p>
    <w:p>
      <w:pPr>
        <w:ind w:firstLine="640" w:firstLineChars="200"/>
        <w:rPr>
          <w:rFonts w:hint="default" w:ascii="仿宋_GB2312" w:hAnsi="仿宋" w:eastAsia="仿宋_GB2312"/>
          <w:color w:val="000000"/>
          <w:sz w:val="32"/>
          <w:lang w:val="en-US" w:eastAsia="zh-CN"/>
        </w:rPr>
      </w:pPr>
      <w:r>
        <w:rPr>
          <w:rFonts w:hint="eastAsia" w:ascii="仿宋_GB2312" w:hAnsi="仿宋" w:eastAsia="仿宋_GB2312"/>
          <w:color w:val="000000"/>
          <w:sz w:val="32"/>
        </w:rPr>
        <w:t>(2)质量指标</w:t>
      </w:r>
      <w:r>
        <w:rPr>
          <w:rFonts w:hint="eastAsia" w:ascii="仿宋_GB2312" w:hAnsi="仿宋" w:eastAsia="仿宋_GB2312"/>
          <w:color w:val="000000"/>
          <w:sz w:val="32"/>
          <w:lang w:eastAsia="zh-CN"/>
        </w:rPr>
        <w:t>：高效完成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2019年度法院的各项工作</w:t>
      </w:r>
    </w:p>
    <w:p>
      <w:pPr>
        <w:ind w:firstLine="640" w:firstLineChars="200"/>
        <w:rPr>
          <w:rFonts w:hint="default" w:ascii="仿宋_GB2312" w:hAnsi="仿宋" w:eastAsia="仿宋_GB2312"/>
          <w:color w:val="000000"/>
          <w:sz w:val="32"/>
          <w:lang w:val="en-US" w:eastAsia="zh-CN"/>
        </w:rPr>
      </w:pPr>
      <w:r>
        <w:rPr>
          <w:rFonts w:hint="eastAsia" w:ascii="仿宋_GB2312" w:hAnsi="仿宋" w:eastAsia="仿宋_GB2312"/>
          <w:color w:val="000000"/>
          <w:sz w:val="32"/>
        </w:rPr>
        <w:t>(3)时效指标</w:t>
      </w:r>
      <w:r>
        <w:rPr>
          <w:rFonts w:hint="eastAsia" w:ascii="仿宋_GB2312" w:hAnsi="仿宋" w:eastAsia="仿宋_GB2312"/>
          <w:color w:val="000000"/>
          <w:sz w:val="32"/>
          <w:lang w:eastAsia="zh-CN"/>
        </w:rPr>
        <w:t>：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2019年12月31日前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" w:eastAsia="仿宋_GB2312"/>
          <w:color w:val="000000"/>
          <w:sz w:val="32"/>
          <w:lang w:eastAsia="zh-CN"/>
        </w:rPr>
      </w:pPr>
      <w:r>
        <w:rPr>
          <w:rFonts w:hint="eastAsia" w:ascii="仿宋_GB2312" w:hAnsi="仿宋" w:eastAsia="仿宋_GB2312"/>
          <w:color w:val="000000"/>
          <w:sz w:val="32"/>
        </w:rPr>
        <w:t>(4)成本指标</w:t>
      </w:r>
      <w:r>
        <w:rPr>
          <w:rFonts w:hint="eastAsia" w:ascii="仿宋_GB2312" w:hAnsi="仿宋" w:eastAsia="仿宋_GB2312"/>
          <w:color w:val="000000"/>
          <w:sz w:val="32"/>
          <w:lang w:eastAsia="zh-CN"/>
        </w:rPr>
        <w:t>：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497.27万元</w:t>
      </w:r>
    </w:p>
    <w:p>
      <w:pPr>
        <w:ind w:firstLine="640" w:firstLineChars="200"/>
        <w:rPr>
          <w:rFonts w:hint="eastAsia"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2．效益指标完成情况分析。</w:t>
      </w:r>
    </w:p>
    <w:p>
      <w:pPr>
        <w:ind w:firstLine="640" w:firstLineChars="200"/>
        <w:rPr>
          <w:rFonts w:hint="eastAsia" w:ascii="仿宋_GB2312" w:hAnsi="仿宋" w:eastAsia="仿宋_GB2312"/>
          <w:color w:val="000000"/>
          <w:sz w:val="32"/>
          <w:lang w:eastAsia="zh-CN"/>
        </w:rPr>
      </w:pPr>
      <w:r>
        <w:rPr>
          <w:rFonts w:hint="eastAsia" w:ascii="仿宋_GB2312" w:hAnsi="仿宋" w:eastAsia="仿宋_GB2312"/>
          <w:color w:val="000000"/>
          <w:sz w:val="32"/>
        </w:rPr>
        <w:t>(1)经济效益</w:t>
      </w:r>
      <w:r>
        <w:rPr>
          <w:rFonts w:hint="eastAsia" w:ascii="仿宋_GB2312" w:hAnsi="仿宋" w:eastAsia="仿宋_GB2312"/>
          <w:color w:val="000000"/>
          <w:sz w:val="32"/>
          <w:lang w:eastAsia="zh-CN"/>
        </w:rPr>
        <w:t>：本项目无直接经济效益</w:t>
      </w:r>
    </w:p>
    <w:p>
      <w:pPr>
        <w:ind w:firstLine="640" w:firstLineChars="200"/>
        <w:rPr>
          <w:rFonts w:hint="eastAsia" w:ascii="仿宋_GB2312" w:hAnsi="仿宋" w:eastAsia="仿宋_GB2312"/>
          <w:color w:val="000000"/>
          <w:sz w:val="32"/>
          <w:lang w:eastAsia="zh-CN"/>
        </w:rPr>
      </w:pPr>
      <w:r>
        <w:rPr>
          <w:rFonts w:hint="eastAsia" w:ascii="仿宋_GB2312" w:hAnsi="仿宋" w:eastAsia="仿宋_GB2312"/>
          <w:color w:val="000000"/>
          <w:sz w:val="32"/>
        </w:rPr>
        <w:t>(2)社会效益</w:t>
      </w:r>
      <w:r>
        <w:rPr>
          <w:rFonts w:hint="eastAsia" w:ascii="仿宋_GB2312" w:hAnsi="仿宋" w:eastAsia="仿宋_GB2312"/>
          <w:color w:val="000000"/>
          <w:sz w:val="32"/>
          <w:lang w:eastAsia="zh-CN"/>
        </w:rPr>
        <w:t>：维护司法公平正义</w:t>
      </w:r>
    </w:p>
    <w:p>
      <w:pPr>
        <w:ind w:firstLine="640" w:firstLineChars="200"/>
        <w:rPr>
          <w:rFonts w:hint="eastAsia" w:ascii="仿宋_GB2312" w:hAnsi="仿宋" w:eastAsia="仿宋_GB2312"/>
          <w:color w:val="000000"/>
          <w:sz w:val="32"/>
          <w:lang w:eastAsia="zh-CN"/>
        </w:rPr>
      </w:pPr>
      <w:r>
        <w:rPr>
          <w:rFonts w:hint="eastAsia" w:ascii="仿宋_GB2312" w:hAnsi="仿宋" w:eastAsia="仿宋_GB2312"/>
          <w:color w:val="000000"/>
          <w:sz w:val="32"/>
        </w:rPr>
        <w:t>(3)生态效益</w:t>
      </w:r>
      <w:r>
        <w:rPr>
          <w:rFonts w:hint="eastAsia" w:ascii="仿宋_GB2312" w:hAnsi="仿宋" w:eastAsia="仿宋_GB2312"/>
          <w:color w:val="000000"/>
          <w:sz w:val="32"/>
          <w:lang w:eastAsia="zh-CN"/>
        </w:rPr>
        <w:t>：本项目无直接生态效益</w:t>
      </w:r>
    </w:p>
    <w:p>
      <w:pPr>
        <w:ind w:firstLine="640" w:firstLineChars="200"/>
        <w:rPr>
          <w:rFonts w:hint="eastAsia" w:ascii="仿宋_GB2312" w:hAnsi="仿宋" w:eastAsia="仿宋_GB2312"/>
          <w:color w:val="000000"/>
          <w:sz w:val="32"/>
          <w:lang w:eastAsia="zh-CN"/>
        </w:rPr>
      </w:pPr>
      <w:r>
        <w:rPr>
          <w:rFonts w:hint="eastAsia" w:ascii="仿宋_GB2312" w:hAnsi="仿宋" w:eastAsia="仿宋_GB2312"/>
          <w:color w:val="000000"/>
          <w:sz w:val="32"/>
        </w:rPr>
        <w:t>(4)可持续影响</w:t>
      </w:r>
      <w:r>
        <w:rPr>
          <w:rFonts w:hint="eastAsia" w:ascii="仿宋_GB2312" w:hAnsi="仿宋" w:eastAsia="仿宋_GB2312"/>
          <w:color w:val="000000"/>
          <w:sz w:val="32"/>
          <w:lang w:eastAsia="zh-CN"/>
        </w:rPr>
        <w:t>：</w:t>
      </w:r>
      <w:r>
        <w:rPr>
          <w:rFonts w:hint="eastAsia" w:ascii="仿宋_GB2312" w:hAnsi="仿宋" w:eastAsia="仿宋_GB2312"/>
          <w:color w:val="000000"/>
          <w:sz w:val="32"/>
        </w:rPr>
        <w:t>更好维护社会公平正义，保障人民群众合法权益</w:t>
      </w:r>
    </w:p>
    <w:p>
      <w:pPr>
        <w:ind w:firstLine="640" w:firstLineChars="200"/>
        <w:rPr>
          <w:rFonts w:hint="eastAsia"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3．满意度指标完成情况分析。</w:t>
      </w:r>
    </w:p>
    <w:p>
      <w:pPr>
        <w:ind w:firstLine="640" w:firstLineChars="200"/>
        <w:rPr>
          <w:rFonts w:hint="eastAsia"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上级法院满意度</w:t>
      </w:r>
      <w:r>
        <w:rPr>
          <w:rFonts w:hint="eastAsia" w:ascii="仿宋_GB2312" w:hAnsi="仿宋" w:eastAsia="仿宋_GB2312"/>
          <w:color w:val="000000"/>
          <w:sz w:val="32"/>
          <w:lang w:eastAsia="zh-CN"/>
        </w:rPr>
        <w:t>达到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90%以上，</w:t>
      </w:r>
      <w:r>
        <w:rPr>
          <w:rFonts w:hint="eastAsia" w:ascii="仿宋_GB2312" w:hAnsi="仿宋" w:eastAsia="仿宋_GB2312"/>
          <w:color w:val="000000"/>
          <w:sz w:val="32"/>
        </w:rPr>
        <w:t>人大满意度</w:t>
      </w:r>
      <w:r>
        <w:rPr>
          <w:rFonts w:hint="eastAsia" w:ascii="仿宋_GB2312" w:hAnsi="仿宋" w:eastAsia="仿宋_GB2312"/>
          <w:color w:val="000000"/>
          <w:sz w:val="32"/>
          <w:lang w:eastAsia="zh-CN"/>
        </w:rPr>
        <w:t>达到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90%以上。</w:t>
      </w:r>
    </w:p>
    <w:p>
      <w:pPr>
        <w:ind w:firstLine="640" w:firstLineChars="200"/>
        <w:rPr>
          <w:rFonts w:hint="eastAsia" w:ascii="黑体" w:hAnsi="黑体" w:eastAsia="黑体"/>
          <w:color w:val="000000"/>
          <w:sz w:val="32"/>
        </w:rPr>
      </w:pPr>
      <w:r>
        <w:rPr>
          <w:rFonts w:hint="eastAsia" w:ascii="黑体" w:hAnsi="黑体" w:eastAsia="黑体"/>
          <w:color w:val="000000"/>
          <w:sz w:val="32"/>
        </w:rPr>
        <w:t>三、偏离绩效目标的原因和下一步改进措施</w:t>
      </w:r>
    </w:p>
    <w:p>
      <w:pPr>
        <w:ind w:firstLine="640" w:firstLineChars="200"/>
        <w:rPr>
          <w:rFonts w:hint="eastAsia" w:ascii="仿宋_GB2312" w:hAnsi="仿宋" w:eastAsia="仿宋_GB2312"/>
          <w:color w:val="000000"/>
          <w:sz w:val="32"/>
          <w:lang w:eastAsia="zh-CN"/>
        </w:rPr>
      </w:pPr>
      <w:r>
        <w:rPr>
          <w:rFonts w:hint="eastAsia" w:ascii="仿宋_GB2312" w:hAnsi="仿宋" w:eastAsia="仿宋_GB2312"/>
          <w:color w:val="000000"/>
          <w:sz w:val="32"/>
          <w:lang w:eastAsia="zh-CN"/>
        </w:rPr>
        <w:t>本年度该项目已达到年初预定绩效目标。</w:t>
      </w:r>
    </w:p>
    <w:p>
      <w:pPr>
        <w:numPr>
          <w:ilvl w:val="0"/>
          <w:numId w:val="4"/>
        </w:numPr>
        <w:ind w:firstLine="640" w:firstLineChars="200"/>
        <w:rPr>
          <w:rFonts w:hint="default" w:ascii="黑体" w:hAnsi="黑体" w:eastAsia="黑体"/>
          <w:color w:val="000000"/>
          <w:sz w:val="32"/>
          <w:lang w:val="en-US" w:eastAsia="zh-CN"/>
        </w:rPr>
      </w:pPr>
      <w:r>
        <w:rPr>
          <w:rFonts w:hint="eastAsia" w:ascii="黑体" w:hAnsi="黑体" w:eastAsia="黑体"/>
          <w:color w:val="000000"/>
          <w:sz w:val="32"/>
        </w:rPr>
        <w:t>绩效自评结果拟应用和公开情况</w:t>
      </w:r>
    </w:p>
    <w:p>
      <w:pPr>
        <w:ind w:firstLine="640" w:firstLineChars="200"/>
        <w:rPr>
          <w:rFonts w:hint="default" w:ascii="仿宋_GB2312" w:hAnsi="仿宋" w:eastAsia="仿宋_GB2312"/>
          <w:color w:val="000000"/>
          <w:sz w:val="32"/>
          <w:lang w:val="en-US" w:eastAsia="zh-CN"/>
        </w:rPr>
      </w:pPr>
      <w:r>
        <w:rPr>
          <w:rFonts w:hint="eastAsia" w:ascii="仿宋_GB2312" w:hAnsi="仿宋" w:eastAsia="仿宋_GB2312"/>
          <w:color w:val="000000"/>
          <w:sz w:val="32"/>
          <w:lang w:eastAsia="zh-CN"/>
        </w:rPr>
        <w:t>绩效自评结果随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2019年决算在玉林市政府网公开</w:t>
      </w:r>
    </w:p>
    <w:p>
      <w:pPr>
        <w:ind w:firstLine="640" w:firstLineChars="200"/>
        <w:rPr>
          <w:rFonts w:hint="eastAsia" w:ascii="黑体" w:hAnsi="黑体" w:eastAsia="黑体"/>
          <w:color w:val="000000"/>
          <w:sz w:val="32"/>
        </w:rPr>
      </w:pPr>
      <w:r>
        <w:rPr>
          <w:rFonts w:hint="eastAsia" w:ascii="黑体" w:hAnsi="黑体" w:eastAsia="黑体"/>
          <w:color w:val="000000"/>
          <w:sz w:val="32"/>
        </w:rPr>
        <w:t>五、其他需要说明的问题</w:t>
      </w:r>
    </w:p>
    <w:p>
      <w:pPr>
        <w:ind w:firstLine="640" w:firstLineChars="200"/>
        <w:rPr>
          <w:rFonts w:hint="eastAsia" w:ascii="仿宋_GB2312" w:hAnsi="仿宋" w:eastAsia="仿宋_GB2312"/>
          <w:color w:val="000000"/>
          <w:sz w:val="32"/>
          <w:lang w:eastAsia="zh-CN"/>
        </w:rPr>
      </w:pPr>
      <w:r>
        <w:rPr>
          <w:rFonts w:hint="eastAsia" w:ascii="仿宋_GB2312" w:hAnsi="仿宋" w:eastAsia="仿宋_GB2312"/>
          <w:color w:val="000000"/>
          <w:sz w:val="32"/>
          <w:lang w:eastAsia="zh-CN"/>
        </w:rPr>
        <w:t>无</w:t>
      </w:r>
    </w:p>
    <w:p>
      <w:pPr>
        <w:ind w:firstLine="640" w:firstLineChars="200"/>
        <w:rPr>
          <w:rFonts w:hint="eastAsia"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附：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2019年政法纪检监察转移支付资金</w:t>
      </w:r>
      <w:r>
        <w:rPr>
          <w:rFonts w:hint="eastAsia" w:ascii="仿宋_GB2312" w:hAnsi="仿宋" w:eastAsia="仿宋_GB2312"/>
          <w:color w:val="000000"/>
          <w:sz w:val="32"/>
        </w:rPr>
        <w:t>绩效目标自评表</w:t>
      </w:r>
    </w:p>
    <w:p>
      <w:pPr>
        <w:rPr>
          <w:rFonts w:hint="eastAsia" w:ascii="仿宋_GB2312" w:hAnsi="仿宋" w:eastAsia="仿宋_GB2312"/>
          <w:color w:val="000000"/>
          <w:sz w:val="32"/>
        </w:rPr>
      </w:pPr>
    </w:p>
    <w:p>
      <w:pPr>
        <w:jc w:val="center"/>
        <w:rPr>
          <w:rFonts w:hint="eastAsia" w:ascii="方正小标宋_GBK" w:hAnsi="宋体" w:eastAsia="方正小标宋_GBK"/>
          <w:color w:val="000000"/>
          <w:sz w:val="44"/>
          <w:szCs w:val="44"/>
        </w:rPr>
      </w:pPr>
    </w:p>
    <w:p>
      <w:pPr>
        <w:jc w:val="center"/>
        <w:rPr>
          <w:rFonts w:hint="eastAsia" w:ascii="方正小标宋_GBK" w:hAnsi="宋体" w:eastAsia="方正小标宋_GBK"/>
          <w:color w:val="000000"/>
          <w:sz w:val="44"/>
          <w:szCs w:val="44"/>
        </w:rPr>
      </w:pPr>
    </w:p>
    <w:p>
      <w:pPr>
        <w:jc w:val="center"/>
        <w:rPr>
          <w:rFonts w:hint="eastAsia" w:ascii="方正小标宋_GBK" w:hAnsi="宋体" w:eastAsia="方正小标宋_GBK"/>
          <w:color w:val="000000"/>
          <w:sz w:val="44"/>
          <w:szCs w:val="44"/>
        </w:rPr>
      </w:pPr>
    </w:p>
    <w:p>
      <w:pPr>
        <w:jc w:val="center"/>
        <w:rPr>
          <w:rFonts w:hint="eastAsia" w:ascii="方正小标宋_GBK" w:hAnsi="宋体" w:eastAsia="方正小标宋_GBK"/>
          <w:color w:val="000000"/>
          <w:sz w:val="44"/>
          <w:szCs w:val="44"/>
        </w:rPr>
      </w:pPr>
    </w:p>
    <w:p>
      <w:pPr>
        <w:jc w:val="center"/>
        <w:rPr>
          <w:rFonts w:hint="eastAsia" w:ascii="方正小标宋_GBK" w:hAnsi="宋体" w:eastAsia="方正小标宋_GBK"/>
          <w:color w:val="000000"/>
          <w:sz w:val="44"/>
          <w:szCs w:val="44"/>
        </w:rPr>
      </w:pPr>
    </w:p>
    <w:p>
      <w:pPr>
        <w:jc w:val="center"/>
        <w:rPr>
          <w:rFonts w:hint="eastAsia" w:ascii="方正小标宋_GBK" w:hAnsi="宋体" w:eastAsia="方正小标宋_GBK"/>
          <w:color w:val="000000"/>
          <w:sz w:val="44"/>
          <w:szCs w:val="44"/>
        </w:rPr>
      </w:pPr>
    </w:p>
    <w:p>
      <w:pPr>
        <w:jc w:val="center"/>
        <w:rPr>
          <w:rFonts w:hint="eastAsia" w:ascii="方正小标宋_GBK" w:hAnsi="宋体" w:eastAsia="方正小标宋_GBK"/>
          <w:color w:val="000000"/>
          <w:sz w:val="44"/>
          <w:szCs w:val="44"/>
        </w:rPr>
      </w:pPr>
    </w:p>
    <w:p>
      <w:pPr>
        <w:jc w:val="center"/>
        <w:rPr>
          <w:rFonts w:hint="eastAsia" w:ascii="方正小标宋_GBK" w:hAnsi="宋体" w:eastAsia="方正小标宋_GBK"/>
          <w:color w:val="000000"/>
          <w:sz w:val="44"/>
          <w:szCs w:val="44"/>
        </w:rPr>
      </w:pPr>
    </w:p>
    <w:p>
      <w:pPr>
        <w:jc w:val="center"/>
        <w:rPr>
          <w:rFonts w:hint="eastAsia" w:ascii="方正小标宋_GBK" w:hAnsi="宋体" w:eastAsia="方正小标宋_GBK"/>
          <w:color w:val="000000"/>
          <w:sz w:val="44"/>
          <w:szCs w:val="44"/>
        </w:rPr>
      </w:pPr>
    </w:p>
    <w:p>
      <w:pPr>
        <w:jc w:val="center"/>
        <w:rPr>
          <w:rFonts w:hint="eastAsia" w:ascii="方正小标宋_GBK" w:hAnsi="宋体" w:eastAsia="方正小标宋_GBK"/>
          <w:color w:val="000000"/>
          <w:sz w:val="44"/>
          <w:szCs w:val="44"/>
        </w:rPr>
      </w:pPr>
    </w:p>
    <w:p>
      <w:pPr>
        <w:jc w:val="center"/>
        <w:rPr>
          <w:rFonts w:hint="eastAsia" w:ascii="方正小标宋_GBK" w:hAnsi="宋体" w:eastAsia="方正小标宋_GBK"/>
          <w:color w:val="000000"/>
          <w:sz w:val="44"/>
          <w:szCs w:val="44"/>
        </w:rPr>
      </w:pPr>
    </w:p>
    <w:p>
      <w:pPr>
        <w:jc w:val="center"/>
        <w:rPr>
          <w:rFonts w:hint="eastAsia" w:ascii="方正小标宋_GBK" w:hAnsi="宋体" w:eastAsia="方正小标宋_GBK"/>
          <w:color w:val="000000"/>
          <w:sz w:val="44"/>
          <w:szCs w:val="44"/>
        </w:rPr>
      </w:pPr>
    </w:p>
    <w:p>
      <w:pPr>
        <w:jc w:val="center"/>
        <w:rPr>
          <w:rFonts w:hint="eastAsia" w:ascii="方正小标宋_GBK" w:hAnsi="宋体" w:eastAsia="方正小标宋_GBK"/>
          <w:color w:val="000000"/>
          <w:sz w:val="44"/>
          <w:szCs w:val="44"/>
        </w:rPr>
      </w:pPr>
    </w:p>
    <w:p>
      <w:pPr>
        <w:jc w:val="center"/>
        <w:rPr>
          <w:rFonts w:hint="eastAsia" w:ascii="方正小标宋_GBK" w:hAnsi="宋体" w:eastAsia="方正小标宋_GBK"/>
          <w:color w:val="000000"/>
          <w:sz w:val="44"/>
          <w:szCs w:val="44"/>
        </w:rPr>
      </w:pPr>
      <w:r>
        <w:rPr>
          <w:rFonts w:hint="eastAsia" w:ascii="方正小标宋_GBK" w:hAnsi="宋体" w:eastAsia="方正小标宋_GBK"/>
          <w:color w:val="000000"/>
          <w:sz w:val="44"/>
          <w:szCs w:val="44"/>
          <w:lang w:val="en-US" w:eastAsia="zh-CN"/>
        </w:rPr>
        <w:t>2019年政法纪检监察转移支付资金</w:t>
      </w:r>
      <w:r>
        <w:rPr>
          <w:rFonts w:hint="eastAsia" w:ascii="方正小标宋_GBK" w:hAnsi="宋体" w:eastAsia="方正小标宋_GBK"/>
          <w:color w:val="000000"/>
          <w:sz w:val="44"/>
          <w:szCs w:val="44"/>
        </w:rPr>
        <w:t>绩效目标自评表</w:t>
      </w:r>
    </w:p>
    <w:p>
      <w:pPr>
        <w:jc w:val="center"/>
        <w:rPr>
          <w:rFonts w:hint="eastAsia" w:ascii="楷体_GB2312" w:hAnsi="宋体" w:eastAsia="楷体_GB2312"/>
          <w:color w:val="000000"/>
          <w:sz w:val="28"/>
          <w:szCs w:val="28"/>
        </w:rPr>
      </w:pPr>
      <w:r>
        <w:rPr>
          <w:rFonts w:hint="eastAsia" w:ascii="楷体_GB2312" w:hAnsi="宋体" w:eastAsia="楷体_GB2312"/>
          <w:color w:val="000000"/>
          <w:sz w:val="28"/>
          <w:szCs w:val="28"/>
        </w:rPr>
        <w:t>(2019年度)</w:t>
      </w:r>
    </w:p>
    <w:tbl>
      <w:tblPr>
        <w:tblStyle w:val="2"/>
        <w:tblW w:w="8647" w:type="dxa"/>
        <w:tblInd w:w="1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2"/>
        <w:gridCol w:w="706"/>
        <w:gridCol w:w="288"/>
        <w:gridCol w:w="864"/>
        <w:gridCol w:w="14"/>
        <w:gridCol w:w="922"/>
        <w:gridCol w:w="1527"/>
        <w:gridCol w:w="1151"/>
        <w:gridCol w:w="917"/>
        <w:gridCol w:w="154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706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转移支付（项目）</w:t>
            </w:r>
          </w:p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名称</w:t>
            </w:r>
          </w:p>
        </w:tc>
        <w:tc>
          <w:tcPr>
            <w:tcW w:w="6941" w:type="dxa"/>
            <w:gridSpan w:val="7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2019年政法纪检监察转移支付资金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706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中央主管部门</w:t>
            </w:r>
          </w:p>
        </w:tc>
        <w:tc>
          <w:tcPr>
            <w:tcW w:w="6941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1706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地方主管部门</w:t>
            </w:r>
          </w:p>
        </w:tc>
        <w:tc>
          <w:tcPr>
            <w:tcW w:w="3327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11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6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  <w:lang w:eastAsia="zh-CN"/>
              </w:rPr>
              <w:t>玉林市中级人民法院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706" w:type="dxa"/>
            <w:gridSpan w:val="3"/>
            <w:vMerge w:val="restart"/>
            <w:tcBorders>
              <w:top w:val="single" w:color="auto" w:sz="8" w:space="0"/>
              <w:left w:val="single" w:color="auto" w:sz="12" w:space="0"/>
              <w:bottom w:val="nil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180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15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全年预算数(A)</w:t>
            </w:r>
          </w:p>
        </w:tc>
        <w:tc>
          <w:tcPr>
            <w:tcW w:w="206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全年执行数(B)</w:t>
            </w:r>
          </w:p>
        </w:tc>
        <w:tc>
          <w:tcPr>
            <w:tcW w:w="154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预算执行率(B/A)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1706" w:type="dxa"/>
            <w:gridSpan w:val="3"/>
            <w:vMerge w:val="continue"/>
            <w:tcBorders>
              <w:top w:val="nil"/>
              <w:left w:val="single" w:color="auto" w:sz="12" w:space="0"/>
              <w:bottom w:val="nil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180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15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default" w:ascii="仿宋_GB2312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498</w:t>
            </w:r>
          </w:p>
        </w:tc>
        <w:tc>
          <w:tcPr>
            <w:tcW w:w="206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default" w:ascii="仿宋_GB2312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497.27</w:t>
            </w:r>
          </w:p>
        </w:tc>
        <w:tc>
          <w:tcPr>
            <w:tcW w:w="154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99.85%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1706" w:type="dxa"/>
            <w:gridSpan w:val="3"/>
            <w:vMerge w:val="restart"/>
            <w:tcBorders>
              <w:top w:val="nil"/>
              <w:left w:val="single" w:color="auto" w:sz="12" w:space="0"/>
              <w:bottom w:val="nil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其中：中央补助</w:t>
            </w:r>
          </w:p>
        </w:tc>
        <w:tc>
          <w:tcPr>
            <w:tcW w:w="15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default" w:ascii="仿宋_GB2312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498</w:t>
            </w:r>
          </w:p>
        </w:tc>
        <w:tc>
          <w:tcPr>
            <w:tcW w:w="206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default" w:ascii="仿宋_GB2312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497.27</w:t>
            </w:r>
          </w:p>
        </w:tc>
        <w:tc>
          <w:tcPr>
            <w:tcW w:w="154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top"/>
          </w:tcPr>
          <w:p>
            <w:pPr>
              <w:autoSpaceDE w:val="0"/>
              <w:autoSpaceDN w:val="0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99.85%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1706" w:type="dxa"/>
            <w:gridSpan w:val="3"/>
            <w:vMerge w:val="continue"/>
            <w:tcBorders>
              <w:top w:val="nil"/>
              <w:left w:val="single" w:color="auto" w:sz="12" w:space="0"/>
              <w:bottom w:val="nil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180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地方资金</w:t>
            </w:r>
          </w:p>
        </w:tc>
        <w:tc>
          <w:tcPr>
            <w:tcW w:w="15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206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154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1706" w:type="dxa"/>
            <w:gridSpan w:val="3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180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5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206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154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712" w:type="dxa"/>
            <w:tcBorders>
              <w:top w:val="single" w:color="auto" w:sz="8" w:space="0"/>
              <w:left w:val="single" w:color="auto" w:sz="12" w:space="0"/>
              <w:bottom w:val="nil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年度</w:t>
            </w:r>
          </w:p>
        </w:tc>
        <w:tc>
          <w:tcPr>
            <w:tcW w:w="432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61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全年实际完成情况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712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总体</w:t>
            </w:r>
          </w:p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目标</w:t>
            </w:r>
          </w:p>
        </w:tc>
        <w:tc>
          <w:tcPr>
            <w:tcW w:w="432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一是通过政法转移资金建立完善的审判经费保障，确保2019年度本院内部审判、执行任务的顺利进行。二是保障本年度大案要案、二审案件的立案、审理、判决整个审判流程的正常运转，保障扫黑除恶专项斗争的开展，维护社会公平正义。三是进一步解决执行难问题，加大司法救助力度，维护群众合法权益，维护社会稳定。</w:t>
            </w:r>
          </w:p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361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确保2019年度本院内部审判、执行任务的顺利进行。保障了本年度大案要案、二审案件的立案、审理、判决整个审判流程的正常运转，保障了扫黑除恶专项斗争的开展，维护社会公平正义。更好解决了执行难问题，加大司法救助力度，维护群众合法权益，维护社会稳定。确保法院依法履行职责。保障法院完成2019年案件的审判、执行、扫黑除恶、维稳等各项工作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712" w:type="dxa"/>
            <w:vMerge w:val="restart"/>
            <w:tcBorders>
              <w:top w:val="single" w:color="auto" w:sz="8" w:space="0"/>
              <w:left w:val="single" w:color="auto" w:sz="12" w:space="0"/>
              <w:bottom w:val="nil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绩</w:t>
            </w:r>
          </w:p>
        </w:tc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一级</w:t>
            </w:r>
          </w:p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指标</w:t>
            </w:r>
          </w:p>
        </w:tc>
        <w:tc>
          <w:tcPr>
            <w:tcW w:w="115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二级</w:t>
            </w:r>
          </w:p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指标</w:t>
            </w:r>
          </w:p>
        </w:tc>
        <w:tc>
          <w:tcPr>
            <w:tcW w:w="246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三级指标</w:t>
            </w:r>
          </w:p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年度指标值</w:t>
            </w:r>
          </w:p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全年完成值</w:t>
            </w:r>
          </w:p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未完成原因和改</w:t>
            </w:r>
          </w:p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712" w:type="dxa"/>
            <w:vMerge w:val="continue"/>
            <w:tcBorders>
              <w:top w:val="nil"/>
              <w:left w:val="single" w:color="auto" w:sz="12" w:space="0"/>
              <w:bottom w:val="nil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706" w:type="dxa"/>
            <w:vMerge w:val="restart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6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default" w:ascii="仿宋_GB2312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楷体" w:eastAsia="仿宋_GB2312"/>
                <w:color w:val="000000"/>
                <w:sz w:val="18"/>
                <w:szCs w:val="18"/>
                <w:lang w:val="en-US" w:eastAsia="zh-CN"/>
              </w:rPr>
              <w:t>业务装备经费</w:t>
            </w:r>
          </w:p>
        </w:tc>
        <w:tc>
          <w:tcPr>
            <w:tcW w:w="11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default" w:ascii="仿宋_GB2312" w:hAnsi="楷体" w:eastAsia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楷体" w:eastAsia="仿宋_GB2312"/>
                <w:color w:val="000000"/>
                <w:sz w:val="18"/>
                <w:szCs w:val="18"/>
                <w:lang w:val="en-US" w:eastAsia="zh-CN"/>
              </w:rPr>
              <w:t>191万元</w:t>
            </w:r>
          </w:p>
        </w:tc>
        <w:tc>
          <w:tcPr>
            <w:tcW w:w="9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autoSpaceDE w:val="0"/>
              <w:autoSpaceDN w:val="0"/>
              <w:rPr>
                <w:rFonts w:hint="eastAsia" w:ascii="仿宋_GB2312" w:hAnsi="楷体" w:eastAsia="仿宋_GB2312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楷体" w:eastAsia="仿宋_GB2312"/>
                <w:color w:val="000000"/>
                <w:sz w:val="18"/>
                <w:szCs w:val="18"/>
                <w:lang w:val="en-US" w:eastAsia="zh-CN"/>
              </w:rPr>
              <w:t>191万元</w:t>
            </w:r>
          </w:p>
        </w:tc>
        <w:tc>
          <w:tcPr>
            <w:tcW w:w="154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</w:trPr>
        <w:tc>
          <w:tcPr>
            <w:tcW w:w="712" w:type="dxa"/>
            <w:vMerge w:val="continue"/>
            <w:tcBorders>
              <w:top w:val="nil"/>
              <w:left w:val="single" w:color="auto" w:sz="12" w:space="0"/>
              <w:bottom w:val="nil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706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1152" w:type="dxa"/>
            <w:gridSpan w:val="2"/>
            <w:vMerge w:val="continue"/>
            <w:tcBorders>
              <w:left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6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hAnsi="楷体" w:eastAsia="仿宋_GB2312"/>
                <w:color w:val="000000"/>
                <w:sz w:val="18"/>
                <w:szCs w:val="18"/>
                <w:lang w:val="en-US" w:eastAsia="zh-CN"/>
              </w:rPr>
              <w:t>办案业务经费</w:t>
            </w:r>
          </w:p>
        </w:tc>
        <w:tc>
          <w:tcPr>
            <w:tcW w:w="11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default" w:ascii="仿宋_GB2312" w:hAnsi="楷体" w:eastAsia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楷体" w:eastAsia="仿宋_GB2312"/>
                <w:color w:val="000000"/>
                <w:sz w:val="18"/>
                <w:szCs w:val="18"/>
                <w:lang w:val="en-US" w:eastAsia="zh-CN"/>
              </w:rPr>
              <w:t>292万元</w:t>
            </w:r>
          </w:p>
        </w:tc>
        <w:tc>
          <w:tcPr>
            <w:tcW w:w="9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autoSpaceDE w:val="0"/>
              <w:autoSpaceDN w:val="0"/>
              <w:rPr>
                <w:rFonts w:hint="eastAsia" w:ascii="仿宋_GB2312" w:hAnsi="楷体" w:eastAsia="仿宋_GB2312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楷体" w:eastAsia="仿宋_GB2312"/>
                <w:color w:val="000000"/>
                <w:sz w:val="18"/>
                <w:szCs w:val="18"/>
                <w:lang w:val="en-US" w:eastAsia="zh-CN"/>
              </w:rPr>
              <w:t>291.27万元</w:t>
            </w:r>
          </w:p>
        </w:tc>
        <w:tc>
          <w:tcPr>
            <w:tcW w:w="154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业务支出结转下年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</w:trPr>
        <w:tc>
          <w:tcPr>
            <w:tcW w:w="712" w:type="dxa"/>
            <w:vMerge w:val="continue"/>
            <w:tcBorders>
              <w:top w:val="nil"/>
              <w:left w:val="single" w:color="auto" w:sz="12" w:space="0"/>
              <w:bottom w:val="nil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706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1152" w:type="dxa"/>
            <w:gridSpan w:val="2"/>
            <w:vMerge w:val="continue"/>
            <w:tcBorders>
              <w:left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246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hAnsi="楷体" w:eastAsia="仿宋_GB2312"/>
                <w:color w:val="000000"/>
                <w:sz w:val="18"/>
                <w:szCs w:val="18"/>
                <w:lang w:val="en-US" w:eastAsia="zh-CN"/>
              </w:rPr>
              <w:t>扫黑除恶专项斗争经费</w:t>
            </w:r>
          </w:p>
        </w:tc>
        <w:tc>
          <w:tcPr>
            <w:tcW w:w="11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hAnsi="楷体" w:eastAsia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楷体" w:eastAsia="仿宋_GB2312"/>
                <w:color w:val="000000"/>
                <w:sz w:val="18"/>
                <w:szCs w:val="18"/>
                <w:lang w:val="en-US" w:eastAsia="zh-CN"/>
              </w:rPr>
              <w:t>5万元</w:t>
            </w:r>
          </w:p>
        </w:tc>
        <w:tc>
          <w:tcPr>
            <w:tcW w:w="9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autoSpaceDE w:val="0"/>
              <w:autoSpaceDN w:val="0"/>
              <w:rPr>
                <w:rFonts w:hint="eastAsia" w:ascii="仿宋_GB2312" w:hAnsi="楷体" w:eastAsia="仿宋_GB2312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楷体" w:eastAsia="仿宋_GB2312"/>
                <w:color w:val="000000"/>
                <w:sz w:val="18"/>
                <w:szCs w:val="18"/>
                <w:lang w:val="en-US" w:eastAsia="zh-CN"/>
              </w:rPr>
              <w:t>5万元</w:t>
            </w:r>
          </w:p>
        </w:tc>
        <w:tc>
          <w:tcPr>
            <w:tcW w:w="154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</w:trPr>
        <w:tc>
          <w:tcPr>
            <w:tcW w:w="712" w:type="dxa"/>
            <w:vMerge w:val="continue"/>
            <w:tcBorders>
              <w:top w:val="nil"/>
              <w:left w:val="single" w:color="auto" w:sz="12" w:space="0"/>
              <w:bottom w:val="nil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706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1152" w:type="dxa"/>
            <w:gridSpan w:val="2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246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hAnsi="楷体" w:eastAsia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楷体" w:eastAsia="仿宋_GB2312"/>
                <w:color w:val="000000"/>
                <w:sz w:val="18"/>
                <w:szCs w:val="18"/>
                <w:lang w:val="en-US" w:eastAsia="zh-CN"/>
              </w:rPr>
              <w:t>维稳专项经费</w:t>
            </w:r>
          </w:p>
        </w:tc>
        <w:tc>
          <w:tcPr>
            <w:tcW w:w="11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default" w:ascii="仿宋_GB2312" w:hAnsi="楷体" w:eastAsia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楷体" w:eastAsia="仿宋_GB2312"/>
                <w:color w:val="000000"/>
                <w:sz w:val="18"/>
                <w:szCs w:val="18"/>
                <w:lang w:val="en-US" w:eastAsia="zh-CN"/>
              </w:rPr>
              <w:t>10万元</w:t>
            </w:r>
          </w:p>
        </w:tc>
        <w:tc>
          <w:tcPr>
            <w:tcW w:w="9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autoSpaceDE w:val="0"/>
              <w:autoSpaceDN w:val="0"/>
              <w:rPr>
                <w:rFonts w:hint="eastAsia" w:ascii="仿宋_GB2312" w:hAnsi="楷体" w:eastAsia="仿宋_GB2312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楷体" w:eastAsia="仿宋_GB2312"/>
                <w:color w:val="000000"/>
                <w:sz w:val="18"/>
                <w:szCs w:val="18"/>
                <w:lang w:val="en-US" w:eastAsia="zh-CN"/>
              </w:rPr>
              <w:t>10万元</w:t>
            </w:r>
          </w:p>
        </w:tc>
        <w:tc>
          <w:tcPr>
            <w:tcW w:w="154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712" w:type="dxa"/>
            <w:vMerge w:val="continue"/>
            <w:tcBorders>
              <w:top w:val="nil"/>
              <w:left w:val="single" w:color="auto" w:sz="12" w:space="0"/>
              <w:bottom w:val="nil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706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1152" w:type="dxa"/>
            <w:gridSpan w:val="2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6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确保2019年度本院内部审判、执行任务的顺利进行</w:t>
            </w:r>
          </w:p>
        </w:tc>
        <w:tc>
          <w:tcPr>
            <w:tcW w:w="11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default" w:ascii="仿宋_GB2312" w:hAnsi="楷体" w:eastAsia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楷体" w:eastAsia="仿宋_GB2312"/>
                <w:color w:val="000000"/>
                <w:sz w:val="18"/>
                <w:szCs w:val="18"/>
                <w:lang w:val="en-US" w:eastAsia="zh-CN"/>
              </w:rPr>
              <w:t>高效完成2019年度法院的各项工作</w:t>
            </w:r>
          </w:p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9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default" w:ascii="仿宋_GB2312" w:hAnsi="楷体" w:eastAsia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楷体" w:eastAsia="仿宋_GB2312"/>
                <w:color w:val="000000"/>
                <w:sz w:val="18"/>
                <w:szCs w:val="18"/>
                <w:lang w:val="en-US" w:eastAsia="zh-CN"/>
              </w:rPr>
              <w:t>高效完成2019年度法院的各项工作</w:t>
            </w:r>
          </w:p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154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</w:trPr>
        <w:tc>
          <w:tcPr>
            <w:tcW w:w="712" w:type="dxa"/>
            <w:vMerge w:val="continue"/>
            <w:tcBorders>
              <w:top w:val="nil"/>
              <w:left w:val="single" w:color="auto" w:sz="12" w:space="0"/>
              <w:bottom w:val="nil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706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52" w:type="dxa"/>
            <w:gridSpan w:val="2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46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default" w:ascii="仿宋_GB2312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2019年12月31日前完成</w:t>
            </w:r>
          </w:p>
        </w:tc>
        <w:tc>
          <w:tcPr>
            <w:tcW w:w="11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按时完成</w:t>
            </w:r>
          </w:p>
        </w:tc>
        <w:tc>
          <w:tcPr>
            <w:tcW w:w="9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按时完成</w:t>
            </w:r>
          </w:p>
        </w:tc>
        <w:tc>
          <w:tcPr>
            <w:tcW w:w="154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712" w:type="dxa"/>
            <w:tcBorders>
              <w:top w:val="nil"/>
              <w:left w:val="single" w:color="auto" w:sz="12" w:space="0"/>
              <w:bottom w:val="nil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效</w:t>
            </w:r>
          </w:p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指</w:t>
            </w:r>
          </w:p>
        </w:tc>
        <w:tc>
          <w:tcPr>
            <w:tcW w:w="706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1152" w:type="dxa"/>
            <w:gridSpan w:val="2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46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default" w:ascii="仿宋_GB2312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498万元</w:t>
            </w:r>
          </w:p>
        </w:tc>
        <w:tc>
          <w:tcPr>
            <w:tcW w:w="11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default" w:ascii="仿宋_GB2312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498万元</w:t>
            </w:r>
          </w:p>
        </w:tc>
        <w:tc>
          <w:tcPr>
            <w:tcW w:w="9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default" w:ascii="仿宋_GB2312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497.27万元</w:t>
            </w:r>
          </w:p>
        </w:tc>
        <w:tc>
          <w:tcPr>
            <w:tcW w:w="154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业务支出结转下年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</w:trPr>
        <w:tc>
          <w:tcPr>
            <w:tcW w:w="712" w:type="dxa"/>
            <w:vMerge w:val="restart"/>
            <w:tcBorders>
              <w:top w:val="nil"/>
              <w:left w:val="single" w:color="auto" w:sz="12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标</w:t>
            </w:r>
          </w:p>
        </w:tc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1152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经济效益</w:t>
            </w:r>
          </w:p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指标</w:t>
            </w:r>
          </w:p>
        </w:tc>
        <w:tc>
          <w:tcPr>
            <w:tcW w:w="2463" w:type="dxa"/>
            <w:gridSpan w:val="3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本项目无直接经济效益</w:t>
            </w:r>
          </w:p>
        </w:tc>
        <w:tc>
          <w:tcPr>
            <w:tcW w:w="1151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17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546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12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712" w:type="dxa"/>
            <w:vMerge w:val="continue"/>
            <w:tcBorders>
              <w:top w:val="nil"/>
              <w:left w:val="single" w:color="auto" w:sz="12" w:space="0"/>
              <w:bottom w:val="nil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706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效益</w:t>
            </w:r>
          </w:p>
        </w:tc>
        <w:tc>
          <w:tcPr>
            <w:tcW w:w="1152" w:type="dxa"/>
            <w:gridSpan w:val="2"/>
            <w:vMerge w:val="continue"/>
            <w:tcBorders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63" w:type="dxa"/>
            <w:gridSpan w:val="3"/>
            <w:vMerge w:val="continue"/>
            <w:tcBorders>
              <w:left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51" w:type="dxa"/>
            <w:vMerge w:val="continue"/>
            <w:tcBorders>
              <w:left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17" w:type="dxa"/>
            <w:vMerge w:val="continue"/>
            <w:tcBorders>
              <w:left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546" w:type="dxa"/>
            <w:vMerge w:val="continue"/>
            <w:tcBorders>
              <w:left w:val="single" w:color="auto" w:sz="8" w:space="0"/>
              <w:right w:val="single" w:color="auto" w:sz="12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712" w:type="dxa"/>
            <w:vMerge w:val="continue"/>
            <w:tcBorders>
              <w:top w:val="nil"/>
              <w:left w:val="single" w:color="auto" w:sz="12" w:space="0"/>
              <w:bottom w:val="nil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706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指标</w:t>
            </w:r>
          </w:p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社会效益</w:t>
            </w:r>
          </w:p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指标</w:t>
            </w:r>
          </w:p>
        </w:tc>
        <w:tc>
          <w:tcPr>
            <w:tcW w:w="2463" w:type="dxa"/>
            <w:gridSpan w:val="3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维护司法公平正义</w:t>
            </w:r>
          </w:p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51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维护司法公平正义</w:t>
            </w:r>
          </w:p>
        </w:tc>
        <w:tc>
          <w:tcPr>
            <w:tcW w:w="917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维护司法公平正义</w:t>
            </w:r>
          </w:p>
        </w:tc>
        <w:tc>
          <w:tcPr>
            <w:tcW w:w="1546" w:type="dxa"/>
            <w:tcBorders>
              <w:top w:val="single" w:color="auto" w:sz="8" w:space="0"/>
              <w:left w:val="single" w:color="auto" w:sz="8" w:space="0"/>
              <w:right w:val="single" w:color="auto" w:sz="12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712" w:type="dxa"/>
            <w:vMerge w:val="restart"/>
            <w:tcBorders>
              <w:top w:val="single" w:color="auto" w:sz="12" w:space="0"/>
              <w:left w:val="single" w:color="auto" w:sz="12" w:space="0"/>
              <w:bottom w:val="nil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706" w:type="dxa"/>
            <w:vMerge w:val="restart"/>
            <w:tcBorders>
              <w:top w:val="single" w:color="auto" w:sz="12" w:space="0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1166" w:type="dxa"/>
            <w:gridSpan w:val="3"/>
            <w:tcBorders>
              <w:top w:val="single" w:color="auto" w:sz="12" w:space="0"/>
              <w:left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生态效益</w:t>
            </w:r>
          </w:p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</w:p>
        </w:tc>
        <w:tc>
          <w:tcPr>
            <w:tcW w:w="2449" w:type="dxa"/>
            <w:gridSpan w:val="2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本项目无直接生态效益</w:t>
            </w:r>
          </w:p>
        </w:tc>
        <w:tc>
          <w:tcPr>
            <w:tcW w:w="1151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17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54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</w:trPr>
        <w:tc>
          <w:tcPr>
            <w:tcW w:w="712" w:type="dxa"/>
            <w:vMerge w:val="continue"/>
            <w:tcBorders>
              <w:top w:val="nil"/>
              <w:left w:val="single" w:color="auto" w:sz="12" w:space="0"/>
              <w:bottom w:val="nil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706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1166" w:type="dxa"/>
            <w:gridSpan w:val="3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可持续影响指标</w:t>
            </w:r>
          </w:p>
        </w:tc>
        <w:tc>
          <w:tcPr>
            <w:tcW w:w="244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更好维护社会公平正义，保障人民群众合法权益</w:t>
            </w:r>
          </w:p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更好维护社会公平正义，保障人民群众合法权益</w:t>
            </w:r>
          </w:p>
        </w:tc>
        <w:tc>
          <w:tcPr>
            <w:tcW w:w="9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更好维护社会公平正义，保障人民群众合法权益</w:t>
            </w:r>
          </w:p>
        </w:tc>
        <w:tc>
          <w:tcPr>
            <w:tcW w:w="154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712" w:type="dxa"/>
            <w:vMerge w:val="continue"/>
            <w:tcBorders>
              <w:top w:val="nil"/>
              <w:left w:val="single" w:color="auto" w:sz="12" w:space="0"/>
              <w:bottom w:val="nil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满意</w:t>
            </w:r>
          </w:p>
        </w:tc>
        <w:tc>
          <w:tcPr>
            <w:tcW w:w="1166" w:type="dxa"/>
            <w:gridSpan w:val="3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服务对象</w:t>
            </w:r>
          </w:p>
        </w:tc>
        <w:tc>
          <w:tcPr>
            <w:tcW w:w="244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上级法院满意度</w:t>
            </w:r>
          </w:p>
        </w:tc>
        <w:tc>
          <w:tcPr>
            <w:tcW w:w="11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90%以上</w:t>
            </w:r>
          </w:p>
        </w:tc>
        <w:tc>
          <w:tcPr>
            <w:tcW w:w="9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90%以上</w:t>
            </w:r>
          </w:p>
        </w:tc>
        <w:tc>
          <w:tcPr>
            <w:tcW w:w="154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</w:trPr>
        <w:tc>
          <w:tcPr>
            <w:tcW w:w="712" w:type="dxa"/>
            <w:vMerge w:val="continue"/>
            <w:tcBorders>
              <w:top w:val="nil"/>
              <w:left w:val="single" w:color="auto" w:sz="12" w:space="0"/>
              <w:bottom w:val="nil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706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度指</w:t>
            </w:r>
          </w:p>
        </w:tc>
        <w:tc>
          <w:tcPr>
            <w:tcW w:w="1166" w:type="dxa"/>
            <w:gridSpan w:val="3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满意度指</w:t>
            </w:r>
          </w:p>
        </w:tc>
        <w:tc>
          <w:tcPr>
            <w:tcW w:w="244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人大满意度</w:t>
            </w:r>
          </w:p>
        </w:tc>
        <w:tc>
          <w:tcPr>
            <w:tcW w:w="11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90%以上</w:t>
            </w:r>
          </w:p>
        </w:tc>
        <w:tc>
          <w:tcPr>
            <w:tcW w:w="9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90%以上</w:t>
            </w:r>
          </w:p>
        </w:tc>
        <w:tc>
          <w:tcPr>
            <w:tcW w:w="154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712" w:type="dxa"/>
            <w:vMerge w:val="continue"/>
            <w:tcBorders>
              <w:top w:val="nil"/>
              <w:left w:val="single" w:color="auto" w:sz="12" w:space="0"/>
              <w:bottom w:val="nil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706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1166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标</w:t>
            </w:r>
          </w:p>
        </w:tc>
        <w:tc>
          <w:tcPr>
            <w:tcW w:w="244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54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</w:trPr>
        <w:tc>
          <w:tcPr>
            <w:tcW w:w="712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70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标</w:t>
            </w:r>
          </w:p>
        </w:tc>
        <w:tc>
          <w:tcPr>
            <w:tcW w:w="1166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244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54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</w:trPr>
        <w:tc>
          <w:tcPr>
            <w:tcW w:w="712" w:type="dxa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8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说明</w:t>
            </w:r>
          </w:p>
        </w:tc>
        <w:tc>
          <w:tcPr>
            <w:tcW w:w="7935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无</w:t>
            </w:r>
          </w:p>
        </w:tc>
      </w:tr>
    </w:tbl>
    <w:p>
      <w:pPr>
        <w:autoSpaceDE w:val="0"/>
        <w:autoSpaceDN w:val="0"/>
        <w:adjustRightInd w:val="0"/>
        <w:jc w:val="left"/>
        <w:rPr>
          <w:rFonts w:hint="eastAsia" w:ascii="仿宋_GB2312" w:eastAsia="仿宋_GB2312" w:cs="宋体"/>
          <w:color w:val="000000"/>
          <w:kern w:val="0"/>
          <w:sz w:val="18"/>
          <w:szCs w:val="18"/>
        </w:rPr>
      </w:pPr>
    </w:p>
    <w:p>
      <w:pPr>
        <w:rPr>
          <w:rFonts w:hint="eastAsia" w:ascii="仿宋_GB2312" w:hAnsi="宋体" w:eastAsia="仿宋_GB2312"/>
          <w:color w:val="000000"/>
        </w:rPr>
      </w:pPr>
      <w:r>
        <w:rPr>
          <w:rFonts w:hint="eastAsia" w:ascii="仿宋_GB2312" w:hAnsi="宋体" w:eastAsia="仿宋_GB2312"/>
          <w:color w:val="000000"/>
        </w:rPr>
        <w:t>注：1_其他资金包括和中央补助、地方财政资金共同投入到同一项目的自有资金、社会资金，以及以前年度的结转结余资金等。</w:t>
      </w:r>
    </w:p>
    <w:p>
      <w:pPr>
        <w:rPr>
          <w:rFonts w:hint="eastAsia" w:ascii="仿宋_GB2312" w:hAnsi="宋体" w:eastAsia="仿宋_GB2312"/>
          <w:color w:val="000000"/>
        </w:rPr>
      </w:pPr>
      <w:r>
        <w:rPr>
          <w:rFonts w:hint="eastAsia" w:ascii="仿宋_GB2312" w:hAnsi="宋体" w:eastAsia="仿宋_GB2312"/>
          <w:color w:val="000000"/>
        </w:rPr>
        <w:t>2定量指标，资金使用单位填写本地区实际完成数。财政和主管部门汇总时，对绝对值直接累加计算，相对值按照资金额度加权平均计算。</w:t>
      </w:r>
    </w:p>
    <w:p>
      <w:pPr>
        <w:rPr>
          <w:rFonts w:hint="eastAsia" w:ascii="仿宋_GB2312" w:hAnsi="宋体" w:eastAsia="仿宋_GB2312"/>
          <w:color w:val="000000"/>
        </w:rPr>
      </w:pPr>
      <w:r>
        <w:rPr>
          <w:rFonts w:hint="eastAsia" w:ascii="仿宋_GB2312" w:hAnsi="宋体" w:eastAsia="仿宋_GB2312"/>
          <w:color w:val="000000"/>
        </w:rPr>
        <w:t>3．定性指标根据指标完成情况分为：全部或基本达成预期指标、部分达成预期指标并具有一定效果、未达成预期指标且效果较差三档，分别按照1</w:t>
      </w:r>
      <w:bookmarkStart w:id="0" w:name="_GoBack"/>
      <w:bookmarkEnd w:id="0"/>
      <w:r>
        <w:rPr>
          <w:rFonts w:hint="eastAsia" w:ascii="仿宋_GB2312" w:hAnsi="宋体" w:eastAsia="仿宋_GB2312"/>
          <w:color w:val="000000"/>
        </w:rPr>
        <w:t>00%-80%（含）、80%-60%（含）、60-0%合理填写完成比例。</w:t>
      </w:r>
    </w:p>
    <w:p>
      <w:pPr>
        <w:rPr>
          <w:rFonts w:hint="eastAsia" w:ascii="仿宋_GB2312" w:hAnsi="宋体" w:eastAsia="仿宋_GB2312"/>
          <w:color w:val="000000"/>
        </w:rPr>
      </w:pPr>
      <w:r>
        <w:rPr>
          <w:rFonts w:hint="eastAsia" w:ascii="仿宋_GB2312" w:hAnsi="宋体" w:eastAsia="仿宋_GB2312"/>
          <w:color w:val="000000"/>
        </w:rPr>
        <w:t>4.资金使用单位按项目填报，主管部门和财政部门汇总时按区域绩效目标填报。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8C11AEA"/>
    <w:multiLevelType w:val="singleLevel"/>
    <w:tmpl w:val="88C11AEA"/>
    <w:lvl w:ilvl="0" w:tentative="0">
      <w:start w:val="1"/>
      <w:numFmt w:val="decimal"/>
      <w:suff w:val="nothing"/>
      <w:lvlText w:val="%1．"/>
      <w:lvlJc w:val="left"/>
    </w:lvl>
  </w:abstractNum>
  <w:abstractNum w:abstractNumId="1">
    <w:nsid w:val="D6142DF8"/>
    <w:multiLevelType w:val="singleLevel"/>
    <w:tmpl w:val="D6142DF8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1867F9B2"/>
    <w:multiLevelType w:val="singleLevel"/>
    <w:tmpl w:val="1867F9B2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3F40AEFE"/>
    <w:multiLevelType w:val="singleLevel"/>
    <w:tmpl w:val="3F40AEFE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499"/>
    <w:rsid w:val="001F47C9"/>
    <w:rsid w:val="00753B9D"/>
    <w:rsid w:val="00A05CD8"/>
    <w:rsid w:val="00AB2499"/>
    <w:rsid w:val="00BB64B3"/>
    <w:rsid w:val="23300EEB"/>
    <w:rsid w:val="2BDC07D0"/>
    <w:rsid w:val="2F8113EB"/>
    <w:rsid w:val="372A471C"/>
    <w:rsid w:val="3D694BB8"/>
    <w:rsid w:val="41393838"/>
    <w:rsid w:val="47B10686"/>
    <w:rsid w:val="48943448"/>
    <w:rsid w:val="5DC9048E"/>
    <w:rsid w:val="60076737"/>
    <w:rsid w:val="68776981"/>
    <w:rsid w:val="78903660"/>
    <w:rsid w:val="7A9D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daohangxitong.com</Company>
  <Pages>4</Pages>
  <Words>198</Words>
  <Characters>1130</Characters>
  <Lines>9</Lines>
  <Paragraphs>2</Paragraphs>
  <TotalTime>7</TotalTime>
  <ScaleCrop>false</ScaleCrop>
  <LinksUpToDate>false</LinksUpToDate>
  <CharactersWithSpaces>1326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2020-03-27T09:38:00Z</dcterms:created>
  <dc:creator>肖转</dc:creator>
  <cp:lastModifiedBy>123</cp:lastModifiedBy>
  <dcterms:modified xsi:type="dcterms:W3CDTF">2020-05-08T08:05:13Z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